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792F3" w14:textId="77777777" w:rsidR="00037D30" w:rsidRDefault="00CD3B42">
      <w:pPr>
        <w:rPr>
          <w:b/>
          <w:sz w:val="32"/>
        </w:rPr>
      </w:pPr>
      <w:r>
        <w:rPr>
          <w:b/>
          <w:sz w:val="32"/>
        </w:rPr>
        <w:t>High-level d</w:t>
      </w:r>
      <w:r w:rsidR="00037D30">
        <w:rPr>
          <w:b/>
          <w:sz w:val="32"/>
        </w:rPr>
        <w:t>emand data collection</w:t>
      </w:r>
    </w:p>
    <w:p w14:paraId="326D6BDD" w14:textId="77777777" w:rsidR="00037D30" w:rsidRDefault="00037D30">
      <w:r>
        <w:t xml:space="preserve">Collecting accurate information about </w:t>
      </w:r>
      <w:r w:rsidR="00CD3B42">
        <w:t xml:space="preserve">the </w:t>
      </w:r>
      <w:r>
        <w:t>demand on your service will help inform how to maximise the use of capacity to meet demand.</w:t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5211"/>
        <w:gridCol w:w="5209"/>
      </w:tblGrid>
      <w:tr w:rsidR="00CD3B42" w14:paraId="1F6992B0" w14:textId="77777777" w:rsidTr="005808A5">
        <w:tc>
          <w:tcPr>
            <w:tcW w:w="5211" w:type="dxa"/>
            <w:shd w:val="clear" w:color="auto" w:fill="E7E6E6" w:themeFill="background2"/>
          </w:tcPr>
          <w:p w14:paraId="2ACFD33B" w14:textId="77777777" w:rsidR="00CD3B42" w:rsidRPr="00037D30" w:rsidRDefault="00CD3B42" w:rsidP="00653832">
            <w:pPr>
              <w:rPr>
                <w:b/>
              </w:rPr>
            </w:pPr>
            <w:r>
              <w:rPr>
                <w:b/>
              </w:rPr>
              <w:t>Steps</w:t>
            </w:r>
          </w:p>
        </w:tc>
        <w:tc>
          <w:tcPr>
            <w:tcW w:w="5209" w:type="dxa"/>
            <w:shd w:val="clear" w:color="auto" w:fill="D0CECE" w:themeFill="background2" w:themeFillShade="E6"/>
          </w:tcPr>
          <w:p w14:paraId="79DC2874" w14:textId="77777777" w:rsidR="00CD3B42" w:rsidRDefault="00CD3B42">
            <w:pPr>
              <w:rPr>
                <w:b/>
              </w:rPr>
            </w:pPr>
            <w:r w:rsidRPr="00CD3B42">
              <w:rPr>
                <w:b/>
              </w:rPr>
              <w:t>Tips</w:t>
            </w:r>
          </w:p>
          <w:p w14:paraId="01E73F07" w14:textId="42CAD1B7" w:rsidR="008C01A9" w:rsidRPr="00CD3B42" w:rsidRDefault="008C01A9">
            <w:pPr>
              <w:rPr>
                <w:b/>
              </w:rPr>
            </w:pPr>
          </w:p>
        </w:tc>
      </w:tr>
      <w:tr w:rsidR="00037D30" w14:paraId="6267A858" w14:textId="77777777" w:rsidTr="005808A5">
        <w:tc>
          <w:tcPr>
            <w:tcW w:w="5211" w:type="dxa"/>
            <w:shd w:val="clear" w:color="auto" w:fill="E7E6E6" w:themeFill="background2"/>
          </w:tcPr>
          <w:p w14:paraId="302D24AF" w14:textId="77777777" w:rsidR="00653832" w:rsidRDefault="00037D30" w:rsidP="00653832">
            <w:r w:rsidRPr="00037D30">
              <w:rPr>
                <w:b/>
              </w:rPr>
              <w:t>Step 1:</w:t>
            </w:r>
            <w:r>
              <w:t xml:space="preserve"> Think about the most common requests patients ask for when first contacting the practice.  </w:t>
            </w:r>
            <w:r w:rsidR="00653832">
              <w:t>The table overleaf has been pre-populated with examples but you can overwrite then to make them more relevant to your practice.</w:t>
            </w:r>
          </w:p>
          <w:p w14:paraId="4EE527A3" w14:textId="77777777" w:rsidR="00653832" w:rsidRPr="00037D30" w:rsidRDefault="00653832" w:rsidP="00EC7BCF"/>
        </w:tc>
        <w:tc>
          <w:tcPr>
            <w:tcW w:w="5209" w:type="dxa"/>
            <w:shd w:val="clear" w:color="auto" w:fill="D0CECE" w:themeFill="background2" w:themeFillShade="E6"/>
          </w:tcPr>
          <w:p w14:paraId="482E7ECB" w14:textId="77777777" w:rsidR="00EC7BCF" w:rsidRDefault="00653832" w:rsidP="00CD3B42">
            <w:r>
              <w:t xml:space="preserve">This is not specific clinical requests, </w:t>
            </w:r>
            <w:r w:rsidR="00CD3B42">
              <w:t>it is more generic</w:t>
            </w:r>
            <w:r>
              <w:t xml:space="preserve"> requests about accessing services.</w:t>
            </w:r>
          </w:p>
          <w:p w14:paraId="3AC2FEC6" w14:textId="77777777" w:rsidR="00CD3B42" w:rsidRDefault="00CD3B42" w:rsidP="00CD3B42"/>
          <w:p w14:paraId="11C4B7C6" w14:textId="77777777" w:rsidR="00CD3B42" w:rsidRDefault="00CD3B42" w:rsidP="008C01A9">
            <w:r>
              <w:t>If required</w:t>
            </w:r>
            <w:r w:rsidR="00596345">
              <w:t>,</w:t>
            </w:r>
            <w:r>
              <w:t xml:space="preserve"> a more detailed demand analys</w:t>
            </w:r>
            <w:r w:rsidR="008C01A9">
              <w:t>is</w:t>
            </w:r>
            <w:r>
              <w:t xml:space="preserve"> can be undertaken </w:t>
            </w:r>
            <w:r w:rsidR="00596345">
              <w:t>at a later stage for more</w:t>
            </w:r>
            <w:r>
              <w:t xml:space="preserve"> specifics like clinical demand.</w:t>
            </w:r>
          </w:p>
          <w:p w14:paraId="65B4C147" w14:textId="1A96443E" w:rsidR="008C01A9" w:rsidRPr="00037D30" w:rsidRDefault="008C01A9" w:rsidP="008C01A9">
            <w:pPr>
              <w:rPr>
                <w:sz w:val="32"/>
              </w:rPr>
            </w:pPr>
          </w:p>
        </w:tc>
      </w:tr>
      <w:tr w:rsidR="00037D30" w14:paraId="385AAF8F" w14:textId="77777777" w:rsidTr="005808A5">
        <w:tc>
          <w:tcPr>
            <w:tcW w:w="5211" w:type="dxa"/>
            <w:shd w:val="clear" w:color="auto" w:fill="E7E6E6" w:themeFill="background2"/>
          </w:tcPr>
          <w:p w14:paraId="3DB212DB" w14:textId="77777777" w:rsidR="00037D30" w:rsidRDefault="00EC7BCF">
            <w:r w:rsidRPr="00EC7BCF">
              <w:rPr>
                <w:b/>
              </w:rPr>
              <w:t>Step 2:</w:t>
            </w:r>
            <w:r>
              <w:t xml:space="preserve"> Agree who will collect the demand. This</w:t>
            </w:r>
            <w:r w:rsidR="00596345">
              <w:t xml:space="preserve"> is normally the people who makes first contact with the patient when the contact the practice.</w:t>
            </w:r>
          </w:p>
          <w:p w14:paraId="738A420F" w14:textId="77777777" w:rsidR="00EC7BCF" w:rsidRPr="00EC7BCF" w:rsidRDefault="00EC7BCF"/>
        </w:tc>
        <w:tc>
          <w:tcPr>
            <w:tcW w:w="5209" w:type="dxa"/>
            <w:shd w:val="clear" w:color="auto" w:fill="D0CECE" w:themeFill="background2" w:themeFillShade="E6"/>
          </w:tcPr>
          <w:p w14:paraId="517BEF40" w14:textId="77777777" w:rsidR="00037D30" w:rsidRDefault="00EC7BCF" w:rsidP="00653832">
            <w:r>
              <w:t xml:space="preserve">Ideally, anyone who has the first patient contact for a request should use the demand collection tool.  This would cover </w:t>
            </w:r>
            <w:r w:rsidR="00653832">
              <w:t xml:space="preserve">new requests for service made at reception, </w:t>
            </w:r>
            <w:r>
              <w:t xml:space="preserve">telephone and </w:t>
            </w:r>
            <w:r w:rsidR="00653832">
              <w:t>over email/online platforms</w:t>
            </w:r>
            <w:r>
              <w:t>.</w:t>
            </w:r>
          </w:p>
          <w:p w14:paraId="1A1525E0" w14:textId="7619A92C" w:rsidR="008C01A9" w:rsidRPr="00EC7BCF" w:rsidRDefault="008C01A9" w:rsidP="00653832"/>
        </w:tc>
      </w:tr>
      <w:tr w:rsidR="00037D30" w14:paraId="598073AF" w14:textId="77777777" w:rsidTr="005808A5">
        <w:tc>
          <w:tcPr>
            <w:tcW w:w="5211" w:type="dxa"/>
            <w:shd w:val="clear" w:color="auto" w:fill="E7E6E6" w:themeFill="background2"/>
          </w:tcPr>
          <w:p w14:paraId="0A0DC8BC" w14:textId="77777777" w:rsidR="00037D30" w:rsidRPr="00EC7BCF" w:rsidRDefault="00EC7BCF" w:rsidP="00596345">
            <w:r w:rsidRPr="00EC7BCF">
              <w:rPr>
                <w:b/>
              </w:rPr>
              <w:t>Step 3:</w:t>
            </w:r>
            <w:r>
              <w:t xml:space="preserve"> Agree the timescale to collect the demand.  The longer the time period that it covered, the more it will </w:t>
            </w:r>
            <w:r w:rsidR="00653832">
              <w:t>reflect</w:t>
            </w:r>
            <w:r>
              <w:t xml:space="preserve"> your true demand and the more useful the information will be.</w:t>
            </w:r>
          </w:p>
        </w:tc>
        <w:tc>
          <w:tcPr>
            <w:tcW w:w="5209" w:type="dxa"/>
            <w:shd w:val="clear" w:color="auto" w:fill="D0CECE" w:themeFill="background2" w:themeFillShade="E6"/>
          </w:tcPr>
          <w:p w14:paraId="4DDA8839" w14:textId="77777777" w:rsidR="00037D30" w:rsidRDefault="00EC7BCF">
            <w:r>
              <w:t>Ideally, this would be all day, every day for a week and avoiding atypical time periods such as weeks with public holidays.</w:t>
            </w:r>
          </w:p>
          <w:p w14:paraId="53A8C7D3" w14:textId="77777777" w:rsidR="00EC7BCF" w:rsidRDefault="00EC7BCF"/>
          <w:p w14:paraId="3B38336D" w14:textId="77777777" w:rsidR="00EC7BCF" w:rsidRDefault="00EC7BCF" w:rsidP="00653832">
            <w:r>
              <w:t>When that isn’</w:t>
            </w:r>
            <w:r w:rsidR="00653832">
              <w:t>t possible, try a regular pattern to sample demand that covers high and low demand periods. Such as</w:t>
            </w:r>
            <w:r>
              <w:t xml:space="preserve"> 90 minutes in the morning and 90 minutes in the afternoon.</w:t>
            </w:r>
          </w:p>
          <w:p w14:paraId="0D06D0AF" w14:textId="3D853B14" w:rsidR="008C01A9" w:rsidRPr="00EC7BCF" w:rsidRDefault="008C01A9" w:rsidP="00653832"/>
        </w:tc>
      </w:tr>
      <w:tr w:rsidR="00037D30" w14:paraId="5EEE9209" w14:textId="77777777" w:rsidTr="005808A5">
        <w:tc>
          <w:tcPr>
            <w:tcW w:w="5211" w:type="dxa"/>
            <w:shd w:val="clear" w:color="auto" w:fill="E7E6E6" w:themeFill="background2"/>
          </w:tcPr>
          <w:p w14:paraId="2FE2DD90" w14:textId="77777777" w:rsidR="00037D30" w:rsidRDefault="00E11965">
            <w:r w:rsidRPr="00E11965">
              <w:rPr>
                <w:b/>
              </w:rPr>
              <w:t>Step 4:</w:t>
            </w:r>
            <w:r>
              <w:t xml:space="preserve"> Print out a large number of Demand </w:t>
            </w:r>
            <w:r w:rsidR="00653832">
              <w:t>c</w:t>
            </w:r>
            <w:r>
              <w:t>ollection sheets and distribute to relevant staff. Start using the demand collection sheet by adding a tally mark every time a new patient request is made against the request on the demand collection sheet.</w:t>
            </w:r>
          </w:p>
          <w:p w14:paraId="2D5AA0C0" w14:textId="77777777" w:rsidR="00E11965" w:rsidRDefault="00E11965"/>
          <w:p w14:paraId="08D5AB83" w14:textId="77777777" w:rsidR="00653832" w:rsidRDefault="00653832">
            <w:r>
              <w:t xml:space="preserve">When </w:t>
            </w:r>
            <w:r w:rsidR="00596345">
              <w:t>starting a new sheet, please add the</w:t>
            </w:r>
            <w:r>
              <w:t>:</w:t>
            </w:r>
          </w:p>
          <w:p w14:paraId="08217831" w14:textId="77777777" w:rsidR="00653832" w:rsidRDefault="00653832" w:rsidP="00653832">
            <w:pPr>
              <w:pStyle w:val="ListParagraph"/>
              <w:numPr>
                <w:ilvl w:val="0"/>
                <w:numId w:val="1"/>
              </w:numPr>
            </w:pPr>
            <w:r w:rsidRPr="00653832">
              <w:rPr>
                <w:b/>
              </w:rPr>
              <w:t>Date</w:t>
            </w:r>
            <w:r>
              <w:t xml:space="preserve"> – used to </w:t>
            </w:r>
            <w:r w:rsidR="00596345">
              <w:t>segment</w:t>
            </w:r>
            <w:r>
              <w:t xml:space="preserve"> demand over the week</w:t>
            </w:r>
          </w:p>
          <w:p w14:paraId="070C9ABD" w14:textId="77777777" w:rsidR="00653832" w:rsidRDefault="00653832" w:rsidP="00653832">
            <w:pPr>
              <w:pStyle w:val="ListParagraph"/>
              <w:numPr>
                <w:ilvl w:val="0"/>
                <w:numId w:val="1"/>
              </w:numPr>
            </w:pPr>
            <w:r w:rsidRPr="00653832">
              <w:rPr>
                <w:b/>
              </w:rPr>
              <w:t>Time</w:t>
            </w:r>
            <w:r>
              <w:t xml:space="preserve"> – can be a block of time, such as AM/PM or an hourly time slot</w:t>
            </w:r>
          </w:p>
          <w:p w14:paraId="0998FB36" w14:textId="2A4A5B6D" w:rsidR="00653832" w:rsidRDefault="00653832" w:rsidP="00653832">
            <w:pPr>
              <w:pStyle w:val="ListParagraph"/>
              <w:numPr>
                <w:ilvl w:val="0"/>
                <w:numId w:val="1"/>
              </w:numPr>
            </w:pPr>
            <w:r w:rsidRPr="00653832">
              <w:rPr>
                <w:b/>
              </w:rPr>
              <w:t>Source</w:t>
            </w:r>
            <w:r>
              <w:t xml:space="preserve"> – </w:t>
            </w:r>
            <w:r w:rsidR="005B50CC">
              <w:t>who is completing the sheet</w:t>
            </w:r>
          </w:p>
          <w:p w14:paraId="4CEA0315" w14:textId="77777777" w:rsidR="00E11965" w:rsidRDefault="00E11965"/>
          <w:p w14:paraId="7013AA9D" w14:textId="77777777" w:rsidR="00653832" w:rsidRDefault="00653832">
            <w:r>
              <w:t>When a sheet is complete, set it aside until it can be counted.</w:t>
            </w:r>
          </w:p>
          <w:p w14:paraId="48852CDF" w14:textId="488D4EC5" w:rsidR="008C01A9" w:rsidRPr="00EC7BCF" w:rsidRDefault="008C01A9"/>
        </w:tc>
        <w:tc>
          <w:tcPr>
            <w:tcW w:w="5209" w:type="dxa"/>
            <w:shd w:val="clear" w:color="auto" w:fill="D0CECE" w:themeFill="background2" w:themeFillShade="E6"/>
          </w:tcPr>
          <w:p w14:paraId="38174499" w14:textId="77777777" w:rsidR="00037D30" w:rsidRDefault="00E11965">
            <w:r>
              <w:t xml:space="preserve">If single patient contact results in more than one request, for example, </w:t>
            </w:r>
            <w:r w:rsidR="00653832">
              <w:t>if someone calls and asks for a same day appointment and about a prescription during one call, enter a tally mark in both same day appointment and prescription boxes.</w:t>
            </w:r>
          </w:p>
          <w:p w14:paraId="6FAF7666" w14:textId="77777777" w:rsidR="00653832" w:rsidRDefault="00653832"/>
          <w:p w14:paraId="395E1892" w14:textId="77777777" w:rsidR="00653832" w:rsidRDefault="00653832">
            <w:r>
              <w:t>If there is a lot of variation in demand across the day, try using different data collection sheets for AM or PM.  Or split the day into hourly or 2-hour blocks and use a different sheet per block.</w:t>
            </w:r>
          </w:p>
          <w:p w14:paraId="69E17A12" w14:textId="77777777" w:rsidR="00653832" w:rsidRDefault="00653832"/>
          <w:p w14:paraId="0A14E700" w14:textId="5CB2EFB4" w:rsidR="00653832" w:rsidRPr="00EC7BCF" w:rsidRDefault="00653832"/>
        </w:tc>
      </w:tr>
      <w:tr w:rsidR="00037D30" w14:paraId="3CFC1DAB" w14:textId="77777777" w:rsidTr="005808A5">
        <w:tc>
          <w:tcPr>
            <w:tcW w:w="5211" w:type="dxa"/>
            <w:shd w:val="clear" w:color="auto" w:fill="E7E6E6" w:themeFill="background2"/>
          </w:tcPr>
          <w:p w14:paraId="01655577" w14:textId="101CDA8F" w:rsidR="00037D30" w:rsidRPr="00EC7BCF" w:rsidRDefault="00653832">
            <w:r w:rsidRPr="00653832">
              <w:rPr>
                <w:b/>
              </w:rPr>
              <w:t>Step 5:</w:t>
            </w:r>
            <w:r>
              <w:t xml:space="preserve"> </w:t>
            </w:r>
            <w:r w:rsidR="008C01A9" w:rsidRPr="008C01A9">
              <w:t>Download the</w:t>
            </w:r>
            <w:r w:rsidR="008C01A9">
              <w:rPr>
                <w:b/>
              </w:rPr>
              <w:t xml:space="preserve"> </w:t>
            </w:r>
            <w:hyperlink r:id="rId8" w:history="1">
              <w:r w:rsidR="008C01A9" w:rsidRPr="005B50CC">
                <w:rPr>
                  <w:rStyle w:val="Hyperlink"/>
                </w:rPr>
                <w:t>Data Tally tool</w:t>
              </w:r>
            </w:hyperlink>
            <w:r w:rsidR="008C01A9">
              <w:t xml:space="preserve"> from the GP Access Tools page on the </w:t>
            </w:r>
            <w:proofErr w:type="spellStart"/>
            <w:r w:rsidR="008C01A9">
              <w:t>ihub</w:t>
            </w:r>
            <w:proofErr w:type="spellEnd"/>
            <w:r w:rsidR="008C01A9">
              <w:t xml:space="preserve"> website</w:t>
            </w:r>
            <w:bookmarkStart w:id="0" w:name="_GoBack"/>
            <w:bookmarkEnd w:id="0"/>
          </w:p>
        </w:tc>
        <w:tc>
          <w:tcPr>
            <w:tcW w:w="5209" w:type="dxa"/>
            <w:shd w:val="clear" w:color="auto" w:fill="D0CECE" w:themeFill="background2" w:themeFillShade="E6"/>
          </w:tcPr>
          <w:p w14:paraId="11536D1B" w14:textId="262CA008" w:rsidR="005808A5" w:rsidRDefault="008C01A9" w:rsidP="008C01A9">
            <w:r>
              <w:t>The Data Tally tool will populate</w:t>
            </w:r>
            <w:r w:rsidRPr="008C01A9">
              <w:t xml:space="preserve"> a </w:t>
            </w:r>
            <w:proofErr w:type="spellStart"/>
            <w:r w:rsidRPr="008C01A9">
              <w:t>pareto</w:t>
            </w:r>
            <w:proofErr w:type="spellEnd"/>
            <w:r w:rsidRPr="008C01A9">
              <w:t xml:space="preserve"> chart and a stacked bar chart in the worksheet</w:t>
            </w:r>
            <w:r>
              <w:t xml:space="preserve"> for you to analyse and interpret your data</w:t>
            </w:r>
          </w:p>
          <w:p w14:paraId="52DB2A8C" w14:textId="4C9BD551" w:rsidR="008C01A9" w:rsidRPr="00EC7BCF" w:rsidRDefault="008C01A9" w:rsidP="008C01A9"/>
        </w:tc>
      </w:tr>
    </w:tbl>
    <w:p w14:paraId="2F0AF6AC" w14:textId="77777777" w:rsidR="00037D30" w:rsidRDefault="00037D30">
      <w:pPr>
        <w:rPr>
          <w:b/>
          <w:sz w:val="32"/>
        </w:rPr>
      </w:pPr>
      <w:r>
        <w:rPr>
          <w:b/>
          <w:sz w:val="32"/>
        </w:rPr>
        <w:br w:type="page"/>
      </w:r>
    </w:p>
    <w:p w14:paraId="52A5FE3F" w14:textId="77777777" w:rsidR="00037D30" w:rsidRPr="00037D30" w:rsidRDefault="00037D30">
      <w:pPr>
        <w:rPr>
          <w:b/>
          <w:sz w:val="18"/>
        </w:rPr>
      </w:pPr>
      <w:r>
        <w:rPr>
          <w:b/>
          <w:sz w:val="32"/>
        </w:rPr>
        <w:lastRenderedPageBreak/>
        <w:t>Demand Collection S</w:t>
      </w:r>
      <w:r w:rsidRPr="00037D30">
        <w:rPr>
          <w:b/>
          <w:sz w:val="32"/>
        </w:rPr>
        <w:t>heet</w:t>
      </w:r>
    </w:p>
    <w:p w14:paraId="4517A7F4" w14:textId="77777777" w:rsidR="00037D30" w:rsidRPr="00037D30" w:rsidRDefault="00037D30">
      <w:pPr>
        <w:rPr>
          <w:b/>
          <w:sz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11"/>
        <w:gridCol w:w="1978"/>
        <w:gridCol w:w="850"/>
        <w:gridCol w:w="1928"/>
        <w:gridCol w:w="1196"/>
        <w:gridCol w:w="3822"/>
      </w:tblGrid>
      <w:tr w:rsidR="00037D30" w14:paraId="5683D8D3" w14:textId="77777777" w:rsidTr="00037D30">
        <w:trPr>
          <w:trHeight w:val="530"/>
        </w:trPr>
        <w:tc>
          <w:tcPr>
            <w:tcW w:w="7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931927" w14:textId="77777777" w:rsidR="004C67EE" w:rsidRDefault="004C67EE" w:rsidP="004C67EE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8BB05" w14:textId="77777777" w:rsidR="004C67EE" w:rsidRDefault="004C67EE" w:rsidP="004C67EE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6B7E18" w14:textId="77777777" w:rsidR="004C67EE" w:rsidRDefault="004C67EE" w:rsidP="004C67EE">
            <w:pPr>
              <w:jc w:val="right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118EF" w14:textId="0D895762" w:rsidR="004C67EE" w:rsidRPr="008C01A9" w:rsidRDefault="008C01A9" w:rsidP="008C01A9">
            <w:pPr>
              <w:rPr>
                <w:b/>
                <w:sz w:val="20"/>
                <w:szCs w:val="20"/>
              </w:rPr>
            </w:pPr>
            <w:r w:rsidRPr="008C01A9">
              <w:rPr>
                <w:b/>
                <w:color w:val="D9D9D9" w:themeColor="background1" w:themeShade="D9"/>
                <w:sz w:val="20"/>
                <w:szCs w:val="20"/>
              </w:rPr>
              <w:t>AM or PM?</w:t>
            </w:r>
          </w:p>
        </w:tc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B68E32" w14:textId="380F313D" w:rsidR="004C67EE" w:rsidRDefault="008C01A9" w:rsidP="004C67EE">
            <w:pPr>
              <w:jc w:val="right"/>
              <w:rPr>
                <w:b/>
              </w:rPr>
            </w:pPr>
            <w:r>
              <w:rPr>
                <w:b/>
              </w:rPr>
              <w:t>Name</w:t>
            </w:r>
            <w:r w:rsidR="004C67EE">
              <w:rPr>
                <w:b/>
              </w:rPr>
              <w:t>:</w:t>
            </w:r>
          </w:p>
        </w:tc>
        <w:tc>
          <w:tcPr>
            <w:tcW w:w="3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9FA4C" w14:textId="63E2A554" w:rsidR="004C67EE" w:rsidRPr="008C01A9" w:rsidRDefault="008C01A9">
            <w:pPr>
              <w:rPr>
                <w:i/>
                <w:sz w:val="20"/>
                <w:szCs w:val="20"/>
              </w:rPr>
            </w:pPr>
            <w:r w:rsidRPr="008C01A9">
              <w:rPr>
                <w:i/>
                <w:color w:val="D0CECE" w:themeColor="background2" w:themeShade="E6"/>
                <w:sz w:val="20"/>
                <w:szCs w:val="20"/>
              </w:rPr>
              <w:t>Name of person completing</w:t>
            </w:r>
          </w:p>
        </w:tc>
      </w:tr>
    </w:tbl>
    <w:p w14:paraId="1B21FEBB" w14:textId="77777777" w:rsidR="004C67EE" w:rsidRDefault="004C67EE">
      <w:pPr>
        <w:rPr>
          <w:b/>
        </w:rPr>
      </w:pPr>
    </w:p>
    <w:p w14:paraId="02360AE1" w14:textId="77777777" w:rsidR="004C67EE" w:rsidRPr="004C67EE" w:rsidRDefault="004C67EE">
      <w:pPr>
        <w:rPr>
          <w:b/>
        </w:rPr>
      </w:pPr>
      <w:r w:rsidRPr="004C67EE">
        <w:rPr>
          <w:b/>
        </w:rPr>
        <w:t>I want to…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C67EE" w14:paraId="15ABE959" w14:textId="77777777" w:rsidTr="00037D30">
        <w:tc>
          <w:tcPr>
            <w:tcW w:w="2091" w:type="dxa"/>
            <w:shd w:val="clear" w:color="auto" w:fill="D9D9D9" w:themeFill="background1" w:themeFillShade="D9"/>
          </w:tcPr>
          <w:p w14:paraId="6E4BFD07" w14:textId="77777777" w:rsidR="004C67EE" w:rsidRPr="00037D30" w:rsidRDefault="004C67EE" w:rsidP="004C67EE">
            <w:pPr>
              <w:rPr>
                <w:b/>
              </w:rPr>
            </w:pPr>
            <w:r w:rsidRPr="00037D30">
              <w:rPr>
                <w:b/>
              </w:rPr>
              <w:t>Book a same day appointment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7436E496" w14:textId="77777777" w:rsidR="004C67EE" w:rsidRPr="00037D30" w:rsidRDefault="004C67EE">
            <w:pPr>
              <w:rPr>
                <w:b/>
              </w:rPr>
            </w:pPr>
            <w:r w:rsidRPr="00037D30">
              <w:rPr>
                <w:b/>
              </w:rPr>
              <w:t>Book a future appointment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78EC46C0" w14:textId="77777777" w:rsidR="004C67EE" w:rsidRPr="00037D30" w:rsidRDefault="004C67EE">
            <w:pPr>
              <w:rPr>
                <w:b/>
              </w:rPr>
            </w:pPr>
            <w:r w:rsidRPr="00037D30">
              <w:rPr>
                <w:b/>
              </w:rPr>
              <w:t>Speak to a doctor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1B63221F" w14:textId="77777777" w:rsidR="004C67EE" w:rsidRPr="00037D30" w:rsidRDefault="00653832">
            <w:pPr>
              <w:rPr>
                <w:b/>
              </w:rPr>
            </w:pPr>
            <w:r>
              <w:rPr>
                <w:b/>
              </w:rPr>
              <w:t>Speak to the nurse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4520C82B" w14:textId="77777777" w:rsidR="004C67EE" w:rsidRPr="00037D30" w:rsidRDefault="00653832">
            <w:pPr>
              <w:rPr>
                <w:b/>
              </w:rPr>
            </w:pPr>
            <w:r>
              <w:rPr>
                <w:b/>
              </w:rPr>
              <w:t>Arrange a home visit</w:t>
            </w:r>
          </w:p>
        </w:tc>
      </w:tr>
      <w:tr w:rsidR="004C67EE" w14:paraId="2262FA53" w14:textId="77777777" w:rsidTr="00037D30">
        <w:trPr>
          <w:trHeight w:val="5669"/>
        </w:trPr>
        <w:tc>
          <w:tcPr>
            <w:tcW w:w="2091" w:type="dxa"/>
            <w:tcBorders>
              <w:bottom w:val="single" w:sz="4" w:space="0" w:color="auto"/>
            </w:tcBorders>
          </w:tcPr>
          <w:p w14:paraId="7F23B8FF" w14:textId="77777777" w:rsidR="004C67EE" w:rsidRDefault="004C67EE"/>
        </w:tc>
        <w:tc>
          <w:tcPr>
            <w:tcW w:w="2091" w:type="dxa"/>
            <w:tcBorders>
              <w:bottom w:val="single" w:sz="4" w:space="0" w:color="auto"/>
            </w:tcBorders>
          </w:tcPr>
          <w:p w14:paraId="187CFB49" w14:textId="77777777" w:rsidR="004C67EE" w:rsidRDefault="004C67EE"/>
        </w:tc>
        <w:tc>
          <w:tcPr>
            <w:tcW w:w="2091" w:type="dxa"/>
            <w:tcBorders>
              <w:bottom w:val="single" w:sz="4" w:space="0" w:color="auto"/>
            </w:tcBorders>
          </w:tcPr>
          <w:p w14:paraId="0DC0E1AF" w14:textId="77777777" w:rsidR="004C67EE" w:rsidRDefault="004C67EE"/>
        </w:tc>
        <w:tc>
          <w:tcPr>
            <w:tcW w:w="2091" w:type="dxa"/>
            <w:tcBorders>
              <w:bottom w:val="single" w:sz="4" w:space="0" w:color="auto"/>
            </w:tcBorders>
          </w:tcPr>
          <w:p w14:paraId="3B9EB8F6" w14:textId="77777777" w:rsidR="004C67EE" w:rsidRDefault="004C67EE"/>
        </w:tc>
        <w:tc>
          <w:tcPr>
            <w:tcW w:w="2092" w:type="dxa"/>
            <w:tcBorders>
              <w:bottom w:val="single" w:sz="4" w:space="0" w:color="auto"/>
            </w:tcBorders>
          </w:tcPr>
          <w:p w14:paraId="532A8CA8" w14:textId="77777777" w:rsidR="004C67EE" w:rsidRDefault="004C67EE"/>
        </w:tc>
      </w:tr>
      <w:tr w:rsidR="004C67EE" w14:paraId="6E0A505E" w14:textId="77777777" w:rsidTr="00037D30">
        <w:trPr>
          <w:trHeight w:val="113"/>
        </w:trPr>
        <w:tc>
          <w:tcPr>
            <w:tcW w:w="2091" w:type="dxa"/>
            <w:tcBorders>
              <w:left w:val="nil"/>
              <w:right w:val="nil"/>
            </w:tcBorders>
          </w:tcPr>
          <w:p w14:paraId="4A2A0E34" w14:textId="77777777" w:rsidR="004C67EE" w:rsidRPr="00037D30" w:rsidRDefault="004C67EE">
            <w:pPr>
              <w:rPr>
                <w:sz w:val="12"/>
              </w:rPr>
            </w:pPr>
          </w:p>
        </w:tc>
        <w:tc>
          <w:tcPr>
            <w:tcW w:w="2091" w:type="dxa"/>
            <w:tcBorders>
              <w:left w:val="nil"/>
              <w:right w:val="nil"/>
            </w:tcBorders>
          </w:tcPr>
          <w:p w14:paraId="4A6FC8BE" w14:textId="77777777" w:rsidR="004C67EE" w:rsidRPr="00037D30" w:rsidRDefault="004C67EE">
            <w:pPr>
              <w:rPr>
                <w:sz w:val="12"/>
              </w:rPr>
            </w:pPr>
          </w:p>
        </w:tc>
        <w:tc>
          <w:tcPr>
            <w:tcW w:w="2091" w:type="dxa"/>
            <w:tcBorders>
              <w:left w:val="nil"/>
              <w:right w:val="nil"/>
            </w:tcBorders>
          </w:tcPr>
          <w:p w14:paraId="3D74F16C" w14:textId="77777777" w:rsidR="004C67EE" w:rsidRPr="00037D30" w:rsidRDefault="004C67EE">
            <w:pPr>
              <w:rPr>
                <w:sz w:val="12"/>
              </w:rPr>
            </w:pPr>
          </w:p>
        </w:tc>
        <w:tc>
          <w:tcPr>
            <w:tcW w:w="2091" w:type="dxa"/>
            <w:tcBorders>
              <w:left w:val="nil"/>
              <w:right w:val="nil"/>
            </w:tcBorders>
          </w:tcPr>
          <w:p w14:paraId="4A5E9240" w14:textId="77777777" w:rsidR="004C67EE" w:rsidRPr="00037D30" w:rsidRDefault="004C67EE">
            <w:pPr>
              <w:rPr>
                <w:sz w:val="12"/>
              </w:rPr>
            </w:pPr>
          </w:p>
        </w:tc>
        <w:tc>
          <w:tcPr>
            <w:tcW w:w="2092" w:type="dxa"/>
            <w:tcBorders>
              <w:left w:val="nil"/>
              <w:right w:val="nil"/>
            </w:tcBorders>
          </w:tcPr>
          <w:p w14:paraId="291D8F2C" w14:textId="77777777" w:rsidR="004C67EE" w:rsidRPr="00037D30" w:rsidRDefault="004C67EE">
            <w:pPr>
              <w:rPr>
                <w:sz w:val="12"/>
              </w:rPr>
            </w:pPr>
          </w:p>
        </w:tc>
      </w:tr>
      <w:tr w:rsidR="004C67EE" w14:paraId="27E13E0E" w14:textId="77777777" w:rsidTr="00037D30">
        <w:tc>
          <w:tcPr>
            <w:tcW w:w="2091" w:type="dxa"/>
            <w:shd w:val="clear" w:color="auto" w:fill="D9D9D9" w:themeFill="background1" w:themeFillShade="D9"/>
          </w:tcPr>
          <w:p w14:paraId="1CBA07A2" w14:textId="77777777" w:rsidR="004C67EE" w:rsidRPr="00037D30" w:rsidRDefault="004C67EE">
            <w:pPr>
              <w:rPr>
                <w:b/>
              </w:rPr>
            </w:pPr>
            <w:r w:rsidRPr="00037D30">
              <w:rPr>
                <w:b/>
              </w:rPr>
              <w:t>Ask about a prescription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27C39178" w14:textId="77777777" w:rsidR="004C67EE" w:rsidRPr="00037D30" w:rsidRDefault="004C67EE">
            <w:pPr>
              <w:rPr>
                <w:b/>
              </w:rPr>
            </w:pPr>
            <w:r w:rsidRPr="00037D30">
              <w:rPr>
                <w:b/>
              </w:rPr>
              <w:t>Ask about test results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14B0643D" w14:textId="77777777" w:rsidR="004C67EE" w:rsidRPr="00037D30" w:rsidRDefault="00037D30">
            <w:pPr>
              <w:rPr>
                <w:b/>
              </w:rPr>
            </w:pPr>
            <w:r w:rsidRPr="00037D30">
              <w:rPr>
                <w:b/>
              </w:rPr>
              <w:t>Confirm something I previously arranged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4E02421D" w14:textId="77777777" w:rsidR="004C67EE" w:rsidRPr="00037D30" w:rsidRDefault="00037D30" w:rsidP="004C67EE">
            <w:pPr>
              <w:rPr>
                <w:b/>
              </w:rPr>
            </w:pPr>
            <w:r>
              <w:rPr>
                <w:b/>
              </w:rPr>
              <w:t>Complain about the service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47AF3717" w14:textId="77777777" w:rsidR="004C67EE" w:rsidRPr="00037D30" w:rsidRDefault="004C67EE">
            <w:pPr>
              <w:rPr>
                <w:b/>
              </w:rPr>
            </w:pPr>
            <w:r w:rsidRPr="00037D30">
              <w:rPr>
                <w:b/>
              </w:rPr>
              <w:t>Ask for something else…</w:t>
            </w:r>
          </w:p>
        </w:tc>
      </w:tr>
      <w:tr w:rsidR="004C67EE" w14:paraId="4B348195" w14:textId="77777777" w:rsidTr="00037D30">
        <w:trPr>
          <w:trHeight w:val="5669"/>
        </w:trPr>
        <w:tc>
          <w:tcPr>
            <w:tcW w:w="2091" w:type="dxa"/>
          </w:tcPr>
          <w:p w14:paraId="07166A9E" w14:textId="77777777" w:rsidR="004C67EE" w:rsidRDefault="004C67EE"/>
        </w:tc>
        <w:tc>
          <w:tcPr>
            <w:tcW w:w="2091" w:type="dxa"/>
          </w:tcPr>
          <w:p w14:paraId="0204E67A" w14:textId="77777777" w:rsidR="004C67EE" w:rsidRDefault="004C67EE"/>
        </w:tc>
        <w:tc>
          <w:tcPr>
            <w:tcW w:w="2091" w:type="dxa"/>
          </w:tcPr>
          <w:p w14:paraId="110A76D8" w14:textId="77777777" w:rsidR="004C67EE" w:rsidRDefault="004C67EE"/>
        </w:tc>
        <w:tc>
          <w:tcPr>
            <w:tcW w:w="2091" w:type="dxa"/>
          </w:tcPr>
          <w:p w14:paraId="597DE980" w14:textId="77777777" w:rsidR="004C67EE" w:rsidRDefault="004C67EE"/>
        </w:tc>
        <w:tc>
          <w:tcPr>
            <w:tcW w:w="2092" w:type="dxa"/>
          </w:tcPr>
          <w:p w14:paraId="4E73CAB6" w14:textId="77777777" w:rsidR="004C67EE" w:rsidRDefault="004C67EE"/>
        </w:tc>
      </w:tr>
    </w:tbl>
    <w:p w14:paraId="385C0653" w14:textId="77777777" w:rsidR="002D6F5B" w:rsidRDefault="002D6F5B" w:rsidP="00037D30"/>
    <w:sectPr w:rsidR="002D6F5B" w:rsidSect="00037D3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2116F"/>
    <w:multiLevelType w:val="hybridMultilevel"/>
    <w:tmpl w:val="F008F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EE"/>
    <w:rsid w:val="00037D30"/>
    <w:rsid w:val="001A4191"/>
    <w:rsid w:val="002D6F5B"/>
    <w:rsid w:val="004C67EE"/>
    <w:rsid w:val="005808A5"/>
    <w:rsid w:val="00596345"/>
    <w:rsid w:val="005B50CC"/>
    <w:rsid w:val="00653832"/>
    <w:rsid w:val="006A5C2B"/>
    <w:rsid w:val="008C01A9"/>
    <w:rsid w:val="00CD3B42"/>
    <w:rsid w:val="00DE7C05"/>
    <w:rsid w:val="00E11965"/>
    <w:rsid w:val="00E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6820"/>
  <w15:chartTrackingRefBased/>
  <w15:docId w15:val="{534BAD7F-F013-4283-A732-4779EA72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8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0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hub.scot/media/8974/data-tally-tool-v11.xls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EFFF65AE80F4686343AAC00C29BF6" ma:contentTypeVersion="10" ma:contentTypeDescription="Create a new document." ma:contentTypeScope="" ma:versionID="c11871e3322527c2de36d531b661f19d">
  <xsd:schema xmlns:xsd="http://www.w3.org/2001/XMLSchema" xmlns:xs="http://www.w3.org/2001/XMLSchema" xmlns:p="http://schemas.microsoft.com/office/2006/metadata/properties" xmlns:ns2="e774b4eb-ac5f-4e79-ab9f-d5552fed057c" targetNamespace="http://schemas.microsoft.com/office/2006/metadata/properties" ma:root="true" ma:fieldsID="4b4d1e7ec7e8c5fc962c04ebc6f7b2a8" ns2:_="">
    <xsd:import namespace="e774b4eb-ac5f-4e79-ab9f-d5552fed0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b4eb-ac5f-4e79-ab9f-d5552fed0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20E32-8343-41CC-BB3A-7F10EE9FA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4b4eb-ac5f-4e79-ab9f-d5552fed0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C43FD8-3A9E-4F8B-9BB5-3838DD463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B3EE0-7D73-4971-B375-948FF79203F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774b4eb-ac5f-4e79-ab9f-d5552fed057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Monaghan (NHS Healthcare Improvement Scotland)</dc:creator>
  <cp:keywords/>
  <dc:description/>
  <cp:lastModifiedBy>Lucy Aitken</cp:lastModifiedBy>
  <cp:revision>4</cp:revision>
  <dcterms:created xsi:type="dcterms:W3CDTF">2022-02-15T15:54:00Z</dcterms:created>
  <dcterms:modified xsi:type="dcterms:W3CDTF">2022-02-16T16:32:00Z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0x010100EC6EFFF65AE80F4686343AAC00C29BF6</vt:lpwstr>
  </property>
</Properties>
</file>